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4D" w:rsidRPr="004A224D" w:rsidRDefault="004A224D" w:rsidP="004A224D">
      <w:pPr>
        <w:spacing w:after="0" w:line="240" w:lineRule="auto"/>
        <w:jc w:val="both"/>
        <w:rPr>
          <w:rFonts w:ascii="Arial" w:hAnsi="Arial" w:cs="Arial"/>
          <w:b/>
          <w:sz w:val="32"/>
          <w:szCs w:val="32"/>
        </w:rPr>
      </w:pPr>
      <w:bookmarkStart w:id="0" w:name="_GoBack"/>
      <w:bookmarkEnd w:id="0"/>
      <w:r w:rsidRPr="004A224D">
        <w:rPr>
          <w:rFonts w:ascii="Arial" w:eastAsia="Times New Roman" w:hAnsi="Arial" w:cs="Arial"/>
          <w:b/>
          <w:bCs/>
          <w:sz w:val="32"/>
          <w:szCs w:val="32"/>
          <w:lang w:val="es-ES" w:eastAsia="es-ES"/>
        </w:rPr>
        <w:t>ACUERDO 15/2015 DEL FISCAL GENERAL DEL ESTADO DE MORELOS POR EL QUE SE CREA LA UNIDAD DE INVESTIGACIÓN DEL MINISTERIO PÚBLICO ENCARGADA DE CONOCER EL CASO TETELCINGO</w:t>
      </w:r>
    </w:p>
    <w:p w:rsidR="004E1480" w:rsidRDefault="004E1480" w:rsidP="00511A93">
      <w:pPr>
        <w:spacing w:after="0" w:line="240" w:lineRule="auto"/>
        <w:jc w:val="center"/>
        <w:rPr>
          <w:rStyle w:val="DefaultCar"/>
          <w:b/>
          <w:sz w:val="32"/>
          <w:szCs w:val="32"/>
        </w:rPr>
      </w:pPr>
    </w:p>
    <w:p w:rsidR="00511A93" w:rsidRDefault="0058463A"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22, 23, 31, FRACCIONES I, II, VII, XI Y XXV DE LA LEY ORGÁNICA DE LA FISCALÍA GENERAL DEL ESTADO DE MORELOS; 1, 2, 3, 6, 10, 11, 13 Y 14 FRACCIONES I,  VI, IX, Y XXXI  DEL REGLAMENTO DE ESTA,  Y;</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Pr="004A224D" w:rsidRDefault="004A224D" w:rsidP="004A224D">
      <w:pPr>
        <w:spacing w:after="0" w:line="240" w:lineRule="auto"/>
        <w:jc w:val="center"/>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t>CONSIDERANDO</w:t>
      </w:r>
    </w:p>
    <w:p w:rsidR="005D0BA2" w:rsidRDefault="005D0BA2" w:rsidP="004A224D">
      <w:pPr>
        <w:autoSpaceDE w:val="0"/>
        <w:autoSpaceDN w:val="0"/>
        <w:adjustRightInd w:val="0"/>
        <w:spacing w:after="0" w:line="240" w:lineRule="auto"/>
        <w:jc w:val="both"/>
        <w:rPr>
          <w:rFonts w:ascii="Arial" w:eastAsia="Times New Roman" w:hAnsi="Arial" w:cs="Arial"/>
          <w:bCs/>
          <w:color w:val="000000"/>
          <w:sz w:val="24"/>
          <w:szCs w:val="24"/>
          <w:shd w:val="clear" w:color="auto" w:fill="FFFFFF"/>
          <w:lang w:val="es-ES" w:eastAsia="es-ES"/>
        </w:rPr>
      </w:pPr>
    </w:p>
    <w:p w:rsid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color w:val="000000"/>
          <w:sz w:val="24"/>
          <w:szCs w:val="24"/>
          <w:shd w:val="clear" w:color="auto" w:fill="FFFFFF"/>
          <w:lang w:val="es-ES" w:eastAsia="es-ES"/>
        </w:rPr>
        <w:t xml:space="preserve">El artículo </w:t>
      </w:r>
      <w:r w:rsidRPr="004A224D">
        <w:rPr>
          <w:rFonts w:ascii="Arial" w:eastAsia="Times New Roman" w:hAnsi="Arial" w:cs="Arial"/>
          <w:bCs/>
          <w:sz w:val="24"/>
          <w:szCs w:val="24"/>
          <w:lang w:val="es-ES" w:eastAsia="es-ES"/>
        </w:rPr>
        <w:t xml:space="preserve">21, constitucional determina que la investigación de los delitos corresponde al Ministerio Público y a las policías, las cuales actuarán bajo la conducción y mando de aquél en el ejercicio de esta función. </w:t>
      </w:r>
    </w:p>
    <w:p w:rsidR="005D0BA2" w:rsidRPr="004A224D"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t>En la etapa de investigación del delito, la función primordial del Ministerio Público y de sus auxiliares directos es encontrar todas las evidencias que se convertirán en medios probatorios, los cuales permitirán, no sólo determinar si existe una conducta delictuosa y un imputado, sino también dar fundamento a todas las decisiones que se deben tomar durante el proceso.</w:t>
      </w:r>
    </w:p>
    <w:p w:rsidR="005D0BA2" w:rsidRPr="004A224D"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t xml:space="preserve">Atendiendo a los recientes acontecimientos suscitados en el Poblado de Tetelcingo, Municipio de Cuautla, Morelos, en el que fueron inhumados diversos cuerpos en calidad de desconocidos, y derivado de las denuncias por las posibles irregularidades suscitadas en el tratamiento y destino final de los cuerpos depositados en las fosas comunes del panteón Municipal del poblado antes citado, el pasado 26 de noviembre de 2015, comparecí ante los Diputados de las Comisiones Unidas de Seguridad Pública y Protección Civil, y de Justicia y Derechos Humanos, para aclarar la inhumación de los cuerpos referidos, y decir que el caso está apegado conforme a derecho por que no se trata de fosas clandestinas como se ha referído, si no de fosas comunes que se encuentran dentro de un panteón Municipal en el predio denominado “El Maguey”, el cual ha funcionado desde hace 16 años en la localidad. </w:t>
      </w:r>
    </w:p>
    <w:p w:rsidR="005D0BA2" w:rsidRPr="004A224D"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lastRenderedPageBreak/>
        <w:t xml:space="preserve">Derivado de lo anterior y con el fin de esclarecer los hechos y dar certeza respecto de los cuerpos inhumados en el panteón Municipal del poblado de Tetelcingo, Morelos, el presente Acuerdo tiene como objetivo crear la Unidad del Ministerio Público que conocerá del caso Tetelcingo, la cual se abocará a la investigación y esclarecimientos de los hechos correspondientes, sujetándose a los principios de legalidad, imparcialidad, probidad, objetividad, eficiencia, profesionalismo, honradez, respeto a los derechos humanos, confidencialidad, lealtad, igualdad ante la Ley responsabilidad y transparencia de las indagatorias realizadas, allegándose en todo momento de los dictámenes periciales de los especialistas necesarios.  </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Default="004A224D" w:rsidP="004A224D">
      <w:pPr>
        <w:autoSpaceDE w:val="0"/>
        <w:autoSpaceDN w:val="0"/>
        <w:adjustRightInd w:val="0"/>
        <w:spacing w:after="0" w:line="240" w:lineRule="auto"/>
        <w:jc w:val="both"/>
        <w:rPr>
          <w:rFonts w:ascii="Arial" w:hAnsi="Arial" w:cs="Arial"/>
          <w:color w:val="000000"/>
          <w:sz w:val="24"/>
          <w:szCs w:val="24"/>
        </w:rPr>
      </w:pPr>
      <w:r w:rsidRPr="004A224D">
        <w:rPr>
          <w:rFonts w:ascii="Arial" w:hAnsi="Arial" w:cs="Arial"/>
          <w:color w:val="000000"/>
          <w:sz w:val="24"/>
          <w:szCs w:val="24"/>
        </w:rPr>
        <w:t>Ahora bien, el párrafo inicial del artículo 79-B de la Constitución Política del Estado Libre y Soberano de Morelos, establece que la Institución del Ministerio Público estará integrada por un Fiscal General del Estado de Morelos, que será el jefe de la misma, y por agentes del Ministerio Público de su Dependencia, a quienes nombrará y removerá libremente, considerando la autonomía de gestión y técnica con la que cuenta y es facultad del titular de la misma hacer la designación del personal que integra esta Institución.</w:t>
      </w:r>
    </w:p>
    <w:p w:rsidR="005D0BA2" w:rsidRPr="004A224D" w:rsidRDefault="005D0BA2" w:rsidP="004A224D">
      <w:pPr>
        <w:autoSpaceDE w:val="0"/>
        <w:autoSpaceDN w:val="0"/>
        <w:adjustRightInd w:val="0"/>
        <w:spacing w:after="0" w:line="240" w:lineRule="auto"/>
        <w:jc w:val="both"/>
        <w:rPr>
          <w:rFonts w:ascii="Arial" w:hAnsi="Arial" w:cs="Arial"/>
          <w:color w:val="000000"/>
          <w:sz w:val="24"/>
          <w:szCs w:val="24"/>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t xml:space="preserve">Finalmente,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t>Por lo anteriormente expuesto y fundado, tengo bien expedir el siguiente:</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Pr="004A224D" w:rsidRDefault="004A224D" w:rsidP="004A224D">
      <w:pPr>
        <w:autoSpaceDE w:val="0"/>
        <w:autoSpaceDN w:val="0"/>
        <w:adjustRightInd w:val="0"/>
        <w:spacing w:after="0" w:line="240" w:lineRule="auto"/>
        <w:jc w:val="both"/>
        <w:rPr>
          <w:rFonts w:ascii="Arial" w:eastAsia="Times New Roman" w:hAnsi="Arial" w:cs="Arial"/>
          <w:b/>
          <w:bCs/>
          <w:sz w:val="24"/>
          <w:szCs w:val="24"/>
          <w:lang w:val="es-ES" w:eastAsia="es-ES"/>
        </w:rPr>
      </w:pPr>
      <w:r w:rsidRPr="004A224D">
        <w:rPr>
          <w:rFonts w:ascii="Arial" w:eastAsia="Times New Roman" w:hAnsi="Arial" w:cs="Arial"/>
          <w:b/>
          <w:bCs/>
          <w:sz w:val="24"/>
          <w:szCs w:val="24"/>
          <w:lang w:val="es-ES" w:eastAsia="es-ES"/>
        </w:rPr>
        <w:t>ACUERDO 15/2015, DEL FISCAL GENERAL DE</w:t>
      </w:r>
      <w:r w:rsidR="00E36915">
        <w:rPr>
          <w:rFonts w:ascii="Arial" w:eastAsia="Times New Roman" w:hAnsi="Arial" w:cs="Arial"/>
          <w:b/>
          <w:bCs/>
          <w:sz w:val="24"/>
          <w:szCs w:val="24"/>
          <w:lang w:val="es-ES" w:eastAsia="es-ES"/>
        </w:rPr>
        <w:t xml:space="preserve">L ESTADO DE MORELOS POR EL QUE </w:t>
      </w:r>
      <w:r w:rsidRPr="004A224D">
        <w:rPr>
          <w:rFonts w:ascii="Arial" w:eastAsia="Times New Roman" w:hAnsi="Arial" w:cs="Arial"/>
          <w:b/>
          <w:bCs/>
          <w:sz w:val="24"/>
          <w:szCs w:val="24"/>
          <w:lang w:val="es-ES" w:eastAsia="es-ES"/>
        </w:rPr>
        <w:t>SE CREA LA UNIDAD DE INVESTIGACIÓN DEL MINISTERIO PÚBLICO ENCARGADA DE CONOCER EL CASO TETELCINGO.</w:t>
      </w:r>
    </w:p>
    <w:p w:rsidR="005D0BA2"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Artículo 1.</w:t>
      </w:r>
      <w:r w:rsidRPr="004A224D">
        <w:rPr>
          <w:rFonts w:ascii="Arial" w:eastAsia="Times New Roman" w:hAnsi="Arial" w:cs="Arial"/>
          <w:bCs/>
          <w:sz w:val="24"/>
          <w:szCs w:val="24"/>
          <w:lang w:val="es-ES" w:eastAsia="es-ES"/>
        </w:rPr>
        <w:t xml:space="preserve"> El presente Acuerdo tiene como objeto crear la Unidad de Investigación del Ministerio Público encargada de conocer el caso Tetelcingo, el cual se encuentra relacionado con la Inhumación de cadáveres en el panteón Municipal del poblado de Tetelcingo Morelos. </w:t>
      </w:r>
    </w:p>
    <w:p w:rsidR="005D0BA2" w:rsidRPr="004A224D"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Pr="004A224D" w:rsidRDefault="004A224D" w:rsidP="004A224D">
      <w:pPr>
        <w:widowControl w:val="0"/>
        <w:suppressAutoHyphens/>
        <w:spacing w:after="0" w:line="240" w:lineRule="auto"/>
        <w:jc w:val="both"/>
        <w:rPr>
          <w:rFonts w:ascii="Arial" w:eastAsia="Times New Roman" w:hAnsi="Arial" w:cs="Arial"/>
          <w:sz w:val="24"/>
          <w:szCs w:val="24"/>
          <w:lang w:val="es-ES" w:eastAsia="ar-SA"/>
        </w:rPr>
      </w:pPr>
      <w:r w:rsidRPr="004A224D">
        <w:rPr>
          <w:rFonts w:ascii="Arial" w:eastAsia="Times New Roman" w:hAnsi="Arial" w:cs="Arial"/>
          <w:b/>
          <w:sz w:val="24"/>
          <w:szCs w:val="24"/>
          <w:lang w:val="es-ES" w:eastAsia="ar-SA"/>
        </w:rPr>
        <w:lastRenderedPageBreak/>
        <w:t>Artículo 2.</w:t>
      </w:r>
      <w:r w:rsidRPr="004A224D">
        <w:rPr>
          <w:rFonts w:ascii="Arial" w:eastAsia="Times New Roman" w:hAnsi="Arial" w:cs="Arial"/>
          <w:sz w:val="24"/>
          <w:szCs w:val="24"/>
          <w:lang w:val="es-ES" w:eastAsia="ar-SA"/>
        </w:rPr>
        <w:t xml:space="preserve"> La Unidad de Investigación del Ministerio Público encargada de conocer el caso Tetelcingo, se encuentra ubicada dentro de las instalaciones de la Fiscalía General del Estado y se adscribe a la Fiscalía Regional Metropolitana. </w:t>
      </w:r>
    </w:p>
    <w:p w:rsidR="005D0BA2" w:rsidRDefault="005D0BA2" w:rsidP="004A224D">
      <w:pPr>
        <w:widowControl w:val="0"/>
        <w:suppressAutoHyphens/>
        <w:spacing w:after="0" w:line="240" w:lineRule="auto"/>
        <w:jc w:val="both"/>
        <w:rPr>
          <w:rFonts w:ascii="Arial" w:eastAsia="Times New Roman" w:hAnsi="Arial" w:cs="Arial"/>
          <w:sz w:val="24"/>
          <w:szCs w:val="24"/>
          <w:lang w:val="es-ES" w:eastAsia="ar-SA"/>
        </w:rPr>
      </w:pPr>
    </w:p>
    <w:p w:rsidR="004A224D" w:rsidRPr="004A224D" w:rsidRDefault="004A224D" w:rsidP="004A224D">
      <w:pPr>
        <w:widowControl w:val="0"/>
        <w:suppressAutoHyphens/>
        <w:spacing w:after="0" w:line="240" w:lineRule="auto"/>
        <w:jc w:val="both"/>
        <w:rPr>
          <w:rFonts w:ascii="Arial" w:eastAsia="Times New Roman" w:hAnsi="Arial" w:cs="Arial"/>
          <w:sz w:val="24"/>
          <w:szCs w:val="24"/>
          <w:lang w:val="es-ES" w:eastAsia="ar-SA"/>
        </w:rPr>
      </w:pPr>
      <w:r w:rsidRPr="004A224D">
        <w:rPr>
          <w:rFonts w:ascii="Arial" w:eastAsia="Times New Roman" w:hAnsi="Arial" w:cs="Arial"/>
          <w:b/>
          <w:sz w:val="24"/>
          <w:szCs w:val="24"/>
          <w:lang w:val="es-ES" w:eastAsia="ar-SA"/>
        </w:rPr>
        <w:t>Artículo 3.</w:t>
      </w:r>
      <w:r w:rsidRPr="004A224D">
        <w:rPr>
          <w:rFonts w:ascii="Arial" w:eastAsia="Times New Roman" w:hAnsi="Arial" w:cs="Arial"/>
          <w:sz w:val="24"/>
          <w:szCs w:val="24"/>
          <w:lang w:val="es-ES" w:eastAsia="ar-SA"/>
        </w:rPr>
        <w:t xml:space="preserve"> Las Averiguaciones Previas y Carpetas de Investigación relacionadas con los cuerpos inhumados en el panteón Municipal del Poblado de Tetelcingo Morelos, serán remitidas a la brevedad a la Unidad de Investigación del Ministerio Público encargada de conocer el caso Tetelcingo, a fin de procurar la identidad de los cuerpos inhumados y el esclarecimiento de los hechos. </w:t>
      </w:r>
    </w:p>
    <w:p w:rsidR="005D0BA2"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P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Artículo 4.</w:t>
      </w:r>
      <w:r w:rsidRPr="004A224D">
        <w:rPr>
          <w:rFonts w:ascii="Arial" w:eastAsia="Times New Roman" w:hAnsi="Arial" w:cs="Arial"/>
          <w:bCs/>
          <w:sz w:val="24"/>
          <w:szCs w:val="24"/>
          <w:lang w:val="es-ES" w:eastAsia="es-ES"/>
        </w:rPr>
        <w:t xml:space="preserve"> La Unidad de Investigación del Ministerio Público encargada de conocer el caso Tetelcingo, se integrará por un Agente del Ministerio Público, así como del personal necesario para el cumplimiento de la investigación, de conformidad con la suficiencia presupuestal  asignada.</w:t>
      </w:r>
    </w:p>
    <w:p w:rsidR="005D0BA2"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P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Artículo 5.</w:t>
      </w:r>
      <w:r w:rsidRPr="004A224D">
        <w:rPr>
          <w:rFonts w:ascii="Arial" w:eastAsia="Times New Roman" w:hAnsi="Arial" w:cs="Arial"/>
          <w:bCs/>
          <w:sz w:val="24"/>
          <w:szCs w:val="24"/>
          <w:lang w:val="es-ES" w:eastAsia="es-ES"/>
        </w:rPr>
        <w:t xml:space="preserve"> El Ministerio Público de la Unidad de Investigación encargada de conocer el caso Tetelcingo, es único, indivisible y jerárquico en su organización, sus funciones no podrán ser influidas ni restringidas sino en los casos que dispongan los ordenamientos legales.</w:t>
      </w:r>
    </w:p>
    <w:p w:rsidR="005D0BA2" w:rsidRDefault="005D0BA2" w:rsidP="004A224D">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Pr="004A224D" w:rsidRDefault="004A224D" w:rsidP="004A224D">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Artículo 6.</w:t>
      </w:r>
      <w:r w:rsidRPr="004A224D">
        <w:rPr>
          <w:rFonts w:ascii="Arial" w:eastAsia="Times New Roman" w:hAnsi="Arial" w:cs="Arial"/>
          <w:bCs/>
          <w:sz w:val="24"/>
          <w:szCs w:val="24"/>
          <w:lang w:val="es-ES" w:eastAsia="es-ES"/>
        </w:rPr>
        <w:t xml:space="preserve"> Es facultad del Ministerio Público, conducir las investigaciones de los hechos que constituyan un delito y, en los casos que proceda, promover el ejercicio de la acción penal.</w:t>
      </w:r>
    </w:p>
    <w:p w:rsidR="005D0BA2" w:rsidRDefault="005D0BA2" w:rsidP="004A224D">
      <w:pPr>
        <w:spacing w:after="0" w:line="240" w:lineRule="auto"/>
        <w:jc w:val="both"/>
        <w:rPr>
          <w:rFonts w:ascii="Arial" w:eastAsia="Times New Roman" w:hAnsi="Arial" w:cs="Arial"/>
          <w:bCs/>
          <w:sz w:val="24"/>
          <w:szCs w:val="24"/>
          <w:lang w:val="es-ES" w:eastAsia="es-ES"/>
        </w:rPr>
      </w:pPr>
    </w:p>
    <w:p w:rsidR="004A224D" w:rsidRP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Artículo 7.</w:t>
      </w:r>
      <w:r w:rsidRPr="004A224D">
        <w:rPr>
          <w:rFonts w:ascii="Arial" w:eastAsia="Times New Roman" w:hAnsi="Arial" w:cs="Arial"/>
          <w:bCs/>
          <w:sz w:val="24"/>
          <w:szCs w:val="24"/>
          <w:lang w:val="es-ES" w:eastAsia="es-ES"/>
        </w:rPr>
        <w:t xml:space="preserve"> Las actuaciones del Ministerio Público se sujetarán a los principios de legalidad, imparcialidad, probidad, objetividad, eficiencia, profesionalismo, honradez, respeto a los derechos humanos, confidencialidad, lealtad, responsabilidad y transparencia.</w:t>
      </w:r>
    </w:p>
    <w:p w:rsidR="005D0BA2" w:rsidRDefault="005D0BA2" w:rsidP="004A224D">
      <w:pPr>
        <w:autoSpaceDE w:val="0"/>
        <w:autoSpaceDN w:val="0"/>
        <w:adjustRightInd w:val="0"/>
        <w:spacing w:after="0" w:line="240" w:lineRule="auto"/>
        <w:jc w:val="both"/>
        <w:rPr>
          <w:rFonts w:ascii="Arial" w:eastAsia="Times New Roman" w:hAnsi="Arial" w:cs="Arial"/>
          <w:bCs/>
          <w:sz w:val="24"/>
          <w:szCs w:val="24"/>
          <w:lang w:val="es-ES" w:eastAsia="es-ES"/>
        </w:rPr>
      </w:pPr>
    </w:p>
    <w:p w:rsidR="004A224D" w:rsidRPr="004A224D" w:rsidRDefault="004A224D" w:rsidP="004A224D">
      <w:pPr>
        <w:autoSpaceDE w:val="0"/>
        <w:autoSpaceDN w:val="0"/>
        <w:adjustRightInd w:val="0"/>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Artículo 8.</w:t>
      </w:r>
      <w:r w:rsidRPr="004A224D">
        <w:rPr>
          <w:rFonts w:ascii="Arial" w:eastAsia="Times New Roman" w:hAnsi="Arial" w:cs="Arial"/>
          <w:bCs/>
          <w:sz w:val="24"/>
          <w:szCs w:val="24"/>
          <w:lang w:val="es-ES" w:eastAsia="es-ES"/>
        </w:rPr>
        <w:t xml:space="preserve"> La Unidad de Desarrollo Profesional y Administración, realizará las acciones útiles y pertinentes para la asignación y adscripción del personal que integrará la Unidad del Ministerio Público del caso Tetelcingo, así como los recursos materiales necesarios.</w:t>
      </w:r>
    </w:p>
    <w:p w:rsidR="005D0BA2" w:rsidRDefault="005D0BA2" w:rsidP="004A224D">
      <w:pPr>
        <w:widowControl w:val="0"/>
        <w:suppressAutoHyphens/>
        <w:spacing w:after="0" w:line="240" w:lineRule="auto"/>
        <w:jc w:val="both"/>
        <w:rPr>
          <w:rFonts w:ascii="Arial" w:eastAsia="Times New Roman" w:hAnsi="Arial" w:cs="Arial"/>
          <w:sz w:val="24"/>
          <w:szCs w:val="24"/>
          <w:lang w:val="es-ES" w:eastAsia="ar-SA"/>
        </w:rPr>
      </w:pPr>
    </w:p>
    <w:p w:rsidR="004A224D" w:rsidRDefault="004A224D" w:rsidP="004A224D">
      <w:pPr>
        <w:widowControl w:val="0"/>
        <w:suppressAutoHyphens/>
        <w:spacing w:after="0" w:line="240" w:lineRule="auto"/>
        <w:jc w:val="both"/>
        <w:rPr>
          <w:rFonts w:ascii="Arial" w:eastAsia="Times New Roman" w:hAnsi="Arial" w:cs="Arial"/>
          <w:sz w:val="24"/>
          <w:szCs w:val="24"/>
          <w:lang w:val="es-ES" w:eastAsia="ar-SA"/>
        </w:rPr>
      </w:pPr>
      <w:r w:rsidRPr="004A224D">
        <w:rPr>
          <w:rFonts w:ascii="Arial" w:eastAsia="Times New Roman" w:hAnsi="Arial" w:cs="Arial"/>
          <w:b/>
          <w:sz w:val="24"/>
          <w:szCs w:val="24"/>
          <w:lang w:val="es-ES" w:eastAsia="ar-SA"/>
        </w:rPr>
        <w:t>Artículo 9.</w:t>
      </w:r>
      <w:r w:rsidRPr="004A224D">
        <w:rPr>
          <w:rFonts w:ascii="Arial" w:eastAsia="Times New Roman" w:hAnsi="Arial" w:cs="Arial"/>
          <w:sz w:val="24"/>
          <w:szCs w:val="24"/>
          <w:lang w:val="es-ES" w:eastAsia="ar-SA"/>
        </w:rPr>
        <w:t xml:space="preserve"> El personal de la Unidad de Investigación del Ministerio Público, encargada de conocer el caso Tetelcingo, brindará en todo momento la atención </w:t>
      </w:r>
      <w:r w:rsidRPr="004A224D">
        <w:rPr>
          <w:rFonts w:ascii="Arial" w:eastAsia="Times New Roman" w:hAnsi="Arial" w:cs="Arial"/>
          <w:sz w:val="24"/>
          <w:szCs w:val="24"/>
          <w:lang w:val="es-ES" w:eastAsia="ar-SA"/>
        </w:rPr>
        <w:lastRenderedPageBreak/>
        <w:t xml:space="preserve">debida y el seguimiento en el proceso a los familiares de las víctimas que así lo requieran y sin discriminación alguna. </w:t>
      </w:r>
    </w:p>
    <w:p w:rsidR="005D0BA2" w:rsidRPr="004A224D" w:rsidRDefault="005D0BA2" w:rsidP="004A224D">
      <w:pPr>
        <w:widowControl w:val="0"/>
        <w:suppressAutoHyphens/>
        <w:spacing w:after="0" w:line="240" w:lineRule="auto"/>
        <w:jc w:val="both"/>
        <w:rPr>
          <w:rFonts w:ascii="Arial" w:eastAsia="Times New Roman" w:hAnsi="Arial" w:cs="Arial"/>
          <w:sz w:val="24"/>
          <w:szCs w:val="24"/>
          <w:lang w:val="es-ES" w:eastAsia="ar-SA"/>
        </w:rPr>
      </w:pPr>
    </w:p>
    <w:p w:rsidR="004A224D" w:rsidRPr="004A224D" w:rsidRDefault="004A224D" w:rsidP="004A224D">
      <w:pPr>
        <w:autoSpaceDE w:val="0"/>
        <w:autoSpaceDN w:val="0"/>
        <w:adjustRightInd w:val="0"/>
        <w:spacing w:after="0" w:line="240" w:lineRule="auto"/>
        <w:jc w:val="center"/>
        <w:rPr>
          <w:rFonts w:ascii="Arial" w:eastAsia="Times New Roman" w:hAnsi="Arial" w:cs="Arial"/>
          <w:b/>
          <w:bCs/>
          <w:sz w:val="24"/>
          <w:szCs w:val="24"/>
          <w:lang w:eastAsia="es-ES"/>
        </w:rPr>
      </w:pPr>
      <w:r w:rsidRPr="004A224D">
        <w:rPr>
          <w:rFonts w:ascii="Arial" w:eastAsia="Times New Roman" w:hAnsi="Arial" w:cs="Arial"/>
          <w:b/>
          <w:bCs/>
          <w:sz w:val="24"/>
          <w:szCs w:val="24"/>
          <w:lang w:eastAsia="es-ES"/>
        </w:rPr>
        <w:t>TRANSITORIOS</w:t>
      </w:r>
    </w:p>
    <w:p w:rsidR="005D0BA2" w:rsidRPr="005D0BA2" w:rsidRDefault="005D0BA2" w:rsidP="004A224D">
      <w:pPr>
        <w:spacing w:after="0" w:line="240" w:lineRule="auto"/>
        <w:jc w:val="both"/>
        <w:rPr>
          <w:rFonts w:ascii="Arial" w:eastAsia="Times New Roman" w:hAnsi="Arial" w:cs="Arial"/>
          <w:b/>
          <w:bCs/>
          <w:sz w:val="24"/>
          <w:szCs w:val="24"/>
          <w:lang w:val="es-ES" w:eastAsia="es-ES"/>
        </w:rPr>
      </w:pPr>
    </w:p>
    <w:p w:rsidR="004A224D" w:rsidRP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PRIMERO.</w:t>
      </w:r>
      <w:r w:rsidRPr="004A224D">
        <w:rPr>
          <w:rFonts w:ascii="Arial" w:eastAsia="Times New Roman" w:hAnsi="Arial" w:cs="Arial"/>
          <w:bCs/>
          <w:sz w:val="24"/>
          <w:szCs w:val="24"/>
          <w:lang w:val="es-ES" w:eastAsia="es-ES"/>
        </w:rPr>
        <w:t xml:space="preserve"> El presente Acuerdo, entrará en vigor el día siguiente de su publicación en el Periódico Oficial “Tierra y Libertad”, Órgano de Difusión del Gobierno del Estado de Morelos. </w:t>
      </w:r>
    </w:p>
    <w:p w:rsidR="005D0BA2" w:rsidRDefault="005D0BA2" w:rsidP="004A224D">
      <w:pPr>
        <w:spacing w:after="0" w:line="240" w:lineRule="auto"/>
        <w:jc w:val="both"/>
        <w:rPr>
          <w:rFonts w:ascii="Arial" w:eastAsia="Times New Roman" w:hAnsi="Arial" w:cs="Arial"/>
          <w:bCs/>
          <w:sz w:val="24"/>
          <w:szCs w:val="24"/>
          <w:lang w:val="es-ES" w:eastAsia="es-ES"/>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SEGUNDO.</w:t>
      </w:r>
      <w:r w:rsidRPr="004A224D">
        <w:rPr>
          <w:rFonts w:ascii="Arial" w:eastAsia="Times New Roman" w:hAnsi="Arial" w:cs="Arial"/>
          <w:bCs/>
          <w:sz w:val="24"/>
          <w:szCs w:val="24"/>
          <w:lang w:val="es-ES" w:eastAsia="es-ES"/>
        </w:rPr>
        <w:t xml:space="preserve"> La inobservancia del contenido de este instrumento, generará la aplicación de las sanciones previstas por la Ley Orgánica de la Fiscalía General del Estado de Morelos y su Reglamento. </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
          <w:bCs/>
          <w:sz w:val="24"/>
          <w:szCs w:val="24"/>
          <w:lang w:val="es-ES" w:eastAsia="es-ES"/>
        </w:rPr>
        <w:t>TERCERO.</w:t>
      </w:r>
      <w:r w:rsidRPr="004A224D">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Default="004A224D" w:rsidP="004A224D">
      <w:pPr>
        <w:spacing w:after="0" w:line="240" w:lineRule="auto"/>
        <w:jc w:val="both"/>
        <w:rPr>
          <w:rFonts w:ascii="Arial" w:eastAsia="Times New Roman" w:hAnsi="Arial" w:cs="Arial"/>
          <w:bCs/>
          <w:sz w:val="24"/>
          <w:szCs w:val="24"/>
          <w:lang w:val="es-ES" w:eastAsia="es-ES"/>
        </w:rPr>
      </w:pPr>
      <w:r w:rsidRPr="004A224D">
        <w:rPr>
          <w:rFonts w:ascii="Arial" w:eastAsia="Times New Roman" w:hAnsi="Arial" w:cs="Arial"/>
          <w:bCs/>
          <w:sz w:val="24"/>
          <w:szCs w:val="24"/>
          <w:lang w:val="es-ES" w:eastAsia="es-ES"/>
        </w:rPr>
        <w:t xml:space="preserve">Dado en la Ciudad de Cuernavaca, Morelos a los treinta días del mes de noviembre de dos mil quince. </w:t>
      </w:r>
    </w:p>
    <w:p w:rsidR="005D0BA2" w:rsidRPr="004A224D" w:rsidRDefault="005D0BA2" w:rsidP="004A224D">
      <w:pPr>
        <w:spacing w:after="0" w:line="240" w:lineRule="auto"/>
        <w:jc w:val="both"/>
        <w:rPr>
          <w:rFonts w:ascii="Arial" w:eastAsia="Times New Roman" w:hAnsi="Arial" w:cs="Arial"/>
          <w:bCs/>
          <w:sz w:val="24"/>
          <w:szCs w:val="24"/>
          <w:lang w:val="es-ES" w:eastAsia="es-ES"/>
        </w:rPr>
      </w:pPr>
    </w:p>
    <w:p w:rsidR="004A224D" w:rsidRPr="004A224D" w:rsidRDefault="004A224D" w:rsidP="005D0BA2">
      <w:pPr>
        <w:spacing w:after="0" w:line="240" w:lineRule="auto"/>
        <w:jc w:val="center"/>
        <w:rPr>
          <w:rFonts w:ascii="Arial" w:eastAsia="Times New Roman" w:hAnsi="Arial" w:cs="Arial"/>
          <w:b/>
          <w:bCs/>
          <w:sz w:val="24"/>
          <w:szCs w:val="24"/>
          <w:lang w:val="es-ES" w:eastAsia="es-ES"/>
        </w:rPr>
      </w:pPr>
      <w:r w:rsidRPr="004A224D">
        <w:rPr>
          <w:rFonts w:ascii="Arial" w:eastAsia="Times New Roman" w:hAnsi="Arial" w:cs="Arial"/>
          <w:b/>
          <w:bCs/>
          <w:sz w:val="24"/>
          <w:szCs w:val="24"/>
          <w:lang w:val="es-ES" w:eastAsia="es-ES"/>
        </w:rPr>
        <w:t>EL FISCAL GENERAL DEL ESTADO DE MORELOS</w:t>
      </w:r>
    </w:p>
    <w:p w:rsidR="004A224D" w:rsidRPr="004A224D" w:rsidRDefault="004A224D" w:rsidP="005D0BA2">
      <w:pPr>
        <w:spacing w:after="0" w:line="240" w:lineRule="auto"/>
        <w:jc w:val="center"/>
        <w:rPr>
          <w:rFonts w:ascii="Arial" w:eastAsia="Times New Roman" w:hAnsi="Arial" w:cs="Arial"/>
          <w:b/>
          <w:bCs/>
          <w:sz w:val="24"/>
          <w:szCs w:val="24"/>
          <w:lang w:val="es-ES" w:eastAsia="es-ES"/>
        </w:rPr>
      </w:pPr>
      <w:r w:rsidRPr="004A224D">
        <w:rPr>
          <w:rFonts w:ascii="Arial" w:eastAsia="Times New Roman" w:hAnsi="Arial" w:cs="Arial"/>
          <w:b/>
          <w:bCs/>
          <w:sz w:val="24"/>
          <w:szCs w:val="24"/>
          <w:lang w:val="es-ES" w:eastAsia="es-ES"/>
        </w:rPr>
        <w:t>LIC. JAVIER PÉREZ DURÓN</w:t>
      </w:r>
    </w:p>
    <w:p w:rsidR="006D3150" w:rsidRPr="005D0BA2" w:rsidRDefault="004A224D" w:rsidP="005D0BA2">
      <w:pPr>
        <w:spacing w:after="0" w:line="240" w:lineRule="auto"/>
        <w:jc w:val="center"/>
        <w:rPr>
          <w:rFonts w:ascii="Arial" w:hAnsi="Arial" w:cs="Arial"/>
          <w:b/>
          <w:sz w:val="24"/>
          <w:szCs w:val="24"/>
        </w:rPr>
      </w:pPr>
      <w:r w:rsidRPr="005D0BA2">
        <w:rPr>
          <w:rFonts w:ascii="Arial" w:eastAsia="Times New Roman" w:hAnsi="Arial" w:cs="Arial"/>
          <w:b/>
          <w:bCs/>
          <w:sz w:val="24"/>
          <w:szCs w:val="24"/>
          <w:lang w:val="es-ES" w:eastAsia="es-ES"/>
        </w:rPr>
        <w:t>RÚBRICA.</w:t>
      </w:r>
    </w:p>
    <w:p w:rsidR="006D3150" w:rsidRPr="005D0BA2" w:rsidRDefault="006D3150" w:rsidP="005D0BA2">
      <w:pPr>
        <w:spacing w:after="0" w:line="240" w:lineRule="auto"/>
        <w:jc w:val="center"/>
        <w:rPr>
          <w:rFonts w:ascii="Arial" w:hAnsi="Arial" w:cs="Arial"/>
          <w:b/>
          <w:sz w:val="24"/>
          <w:szCs w:val="24"/>
        </w:rPr>
      </w:pPr>
    </w:p>
    <w:p w:rsidR="006D3150" w:rsidRPr="005D0BA2" w:rsidRDefault="006D3150" w:rsidP="005D0BA2">
      <w:pPr>
        <w:spacing w:after="0" w:line="240" w:lineRule="auto"/>
        <w:jc w:val="center"/>
        <w:rPr>
          <w:rFonts w:ascii="Arial" w:hAnsi="Arial" w:cs="Arial"/>
          <w:b/>
          <w:sz w:val="24"/>
          <w:szCs w:val="24"/>
        </w:rPr>
      </w:pPr>
    </w:p>
    <w:sectPr w:rsidR="006D3150" w:rsidRPr="005D0BA2"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452" w:rsidRDefault="00804452" w:rsidP="00BA5C18">
      <w:pPr>
        <w:spacing w:after="0" w:line="240" w:lineRule="auto"/>
      </w:pPr>
      <w:r>
        <w:separator/>
      </w:r>
    </w:p>
  </w:endnote>
  <w:endnote w:type="continuationSeparator" w:id="0">
    <w:p w:rsidR="00804452" w:rsidRDefault="00804452"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58463A"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8463A">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8463A">
                            <w:rPr>
                              <w:b/>
                              <w:noProof/>
                            </w:rPr>
                            <w:t>5</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8463A">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8463A">
                      <w:rPr>
                        <w:b/>
                        <w:noProof/>
                      </w:rPr>
                      <w:t>5</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5D0BA2" w:rsidP="00B0560F">
          <w:pPr>
            <w:pStyle w:val="Piedepgina"/>
            <w:rPr>
              <w:rFonts w:ascii="Arial" w:hAnsi="Arial" w:cs="Arial"/>
              <w:sz w:val="16"/>
              <w:szCs w:val="16"/>
            </w:rPr>
          </w:pPr>
          <w:r>
            <w:rPr>
              <w:rFonts w:ascii="Arial" w:hAnsi="Arial" w:cs="Arial"/>
              <w:sz w:val="16"/>
              <w:szCs w:val="16"/>
            </w:rPr>
            <w:t>2015/11/30</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5D0BA2" w:rsidP="00B0560F">
          <w:pPr>
            <w:pStyle w:val="Piedepgina"/>
            <w:rPr>
              <w:rFonts w:ascii="Arial" w:hAnsi="Arial" w:cs="Arial"/>
              <w:sz w:val="16"/>
              <w:szCs w:val="16"/>
            </w:rPr>
          </w:pPr>
          <w:r>
            <w:rPr>
              <w:rFonts w:ascii="Arial" w:hAnsi="Arial" w:cs="Arial"/>
              <w:sz w:val="16"/>
              <w:szCs w:val="16"/>
            </w:rPr>
            <w:t>2015/12/30</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5D0BA2" w:rsidP="00B0560F">
          <w:pPr>
            <w:pStyle w:val="Piedepgina"/>
            <w:rPr>
              <w:rFonts w:ascii="Arial" w:hAnsi="Arial" w:cs="Arial"/>
              <w:sz w:val="16"/>
              <w:szCs w:val="16"/>
            </w:rPr>
          </w:pPr>
          <w:r>
            <w:rPr>
              <w:rFonts w:ascii="Arial" w:hAnsi="Arial" w:cs="Arial"/>
              <w:sz w:val="16"/>
              <w:szCs w:val="16"/>
            </w:rPr>
            <w:t>2015/12/31</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5D0BA2" w:rsidP="00B0560F">
          <w:pPr>
            <w:pStyle w:val="Piedepgina"/>
            <w:rPr>
              <w:rFonts w:ascii="Arial" w:hAnsi="Arial" w:cs="Arial"/>
              <w:sz w:val="16"/>
              <w:szCs w:val="16"/>
            </w:rPr>
          </w:pPr>
          <w:r>
            <w:rPr>
              <w:rFonts w:ascii="Arial" w:hAnsi="Arial" w:cs="Arial"/>
              <w:sz w:val="16"/>
              <w:szCs w:val="16"/>
            </w:rPr>
            <w:t>Fiscalía General del Estado</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5D0BA2" w:rsidP="00B0560F">
          <w:pPr>
            <w:pStyle w:val="Piedepgina"/>
            <w:rPr>
              <w:rFonts w:ascii="Arial" w:hAnsi="Arial" w:cs="Arial"/>
              <w:sz w:val="16"/>
              <w:szCs w:val="16"/>
            </w:rPr>
          </w:pPr>
          <w:r>
            <w:rPr>
              <w:rFonts w:ascii="Arial" w:hAnsi="Arial" w:cs="Arial"/>
              <w:sz w:val="16"/>
              <w:szCs w:val="16"/>
            </w:rPr>
            <w:t>5356</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5D0BA2" w:rsidRPr="00BA5C18" w:rsidTr="00B0560F">
      <w:trPr>
        <w:trHeight w:val="154"/>
      </w:trPr>
      <w:tc>
        <w:tcPr>
          <w:tcW w:w="2242" w:type="dxa"/>
          <w:shd w:val="clear" w:color="auto" w:fill="auto"/>
        </w:tcPr>
        <w:p w:rsidR="005D0BA2" w:rsidRPr="00BA5C18" w:rsidRDefault="005D0BA2"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5D0BA2" w:rsidRPr="00BA5C18" w:rsidRDefault="005D0BA2" w:rsidP="00D10B04">
          <w:pPr>
            <w:pStyle w:val="Piedepgina"/>
            <w:rPr>
              <w:rFonts w:ascii="Arial" w:hAnsi="Arial" w:cs="Arial"/>
              <w:sz w:val="16"/>
              <w:szCs w:val="16"/>
            </w:rPr>
          </w:pPr>
          <w:r>
            <w:rPr>
              <w:rFonts w:ascii="Arial" w:hAnsi="Arial" w:cs="Arial"/>
              <w:sz w:val="16"/>
              <w:szCs w:val="16"/>
            </w:rPr>
            <w:t>2015/11/30</w:t>
          </w:r>
        </w:p>
      </w:tc>
    </w:tr>
    <w:tr w:rsidR="005D0BA2" w:rsidRPr="00BA5C18" w:rsidTr="00B0560F">
      <w:trPr>
        <w:trHeight w:val="149"/>
      </w:trPr>
      <w:tc>
        <w:tcPr>
          <w:tcW w:w="2242" w:type="dxa"/>
          <w:shd w:val="clear" w:color="auto" w:fill="auto"/>
        </w:tcPr>
        <w:p w:rsidR="005D0BA2" w:rsidRPr="00BA5C18" w:rsidRDefault="005D0BA2"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5D0BA2" w:rsidRPr="00BA5C18" w:rsidRDefault="005D0BA2" w:rsidP="00D10B04">
          <w:pPr>
            <w:pStyle w:val="Piedepgina"/>
            <w:rPr>
              <w:rFonts w:ascii="Arial" w:hAnsi="Arial" w:cs="Arial"/>
              <w:sz w:val="16"/>
              <w:szCs w:val="16"/>
            </w:rPr>
          </w:pPr>
          <w:r>
            <w:rPr>
              <w:rFonts w:ascii="Arial" w:hAnsi="Arial" w:cs="Arial"/>
              <w:sz w:val="16"/>
              <w:szCs w:val="16"/>
            </w:rPr>
            <w:t>2015/12/30</w:t>
          </w:r>
        </w:p>
      </w:tc>
    </w:tr>
    <w:tr w:rsidR="005D0BA2" w:rsidRPr="00BA5C18" w:rsidTr="00B0560F">
      <w:trPr>
        <w:trHeight w:val="159"/>
      </w:trPr>
      <w:tc>
        <w:tcPr>
          <w:tcW w:w="2242" w:type="dxa"/>
          <w:shd w:val="clear" w:color="auto" w:fill="auto"/>
        </w:tcPr>
        <w:p w:rsidR="005D0BA2" w:rsidRPr="00BA5C18" w:rsidRDefault="005D0BA2"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5D0BA2" w:rsidRPr="00BA5C18" w:rsidRDefault="005D0BA2" w:rsidP="00D10B04">
          <w:pPr>
            <w:pStyle w:val="Piedepgina"/>
            <w:rPr>
              <w:rFonts w:ascii="Arial" w:hAnsi="Arial" w:cs="Arial"/>
              <w:sz w:val="16"/>
              <w:szCs w:val="16"/>
            </w:rPr>
          </w:pPr>
          <w:r>
            <w:rPr>
              <w:rFonts w:ascii="Arial" w:hAnsi="Arial" w:cs="Arial"/>
              <w:sz w:val="16"/>
              <w:szCs w:val="16"/>
            </w:rPr>
            <w:t>2015/12/31</w:t>
          </w:r>
        </w:p>
      </w:tc>
    </w:tr>
    <w:tr w:rsidR="005D0BA2" w:rsidRPr="00BA5C18" w:rsidTr="00B0560F">
      <w:trPr>
        <w:trHeight w:val="157"/>
      </w:trPr>
      <w:tc>
        <w:tcPr>
          <w:tcW w:w="2242" w:type="dxa"/>
          <w:shd w:val="clear" w:color="auto" w:fill="auto"/>
        </w:tcPr>
        <w:p w:rsidR="005D0BA2" w:rsidRPr="00BA5C18" w:rsidRDefault="005D0BA2"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5D0BA2" w:rsidRPr="00BA5C18" w:rsidRDefault="005D0BA2" w:rsidP="00D10B04">
          <w:pPr>
            <w:pStyle w:val="Piedepgina"/>
            <w:rPr>
              <w:rFonts w:ascii="Arial" w:hAnsi="Arial" w:cs="Arial"/>
              <w:sz w:val="16"/>
              <w:szCs w:val="16"/>
            </w:rPr>
          </w:pPr>
          <w:r>
            <w:rPr>
              <w:rFonts w:ascii="Arial" w:hAnsi="Arial" w:cs="Arial"/>
              <w:sz w:val="16"/>
              <w:szCs w:val="16"/>
            </w:rPr>
            <w:t>Fiscalía General del Estado</w:t>
          </w:r>
        </w:p>
      </w:tc>
    </w:tr>
    <w:tr w:rsidR="005D0BA2" w:rsidRPr="00BA5C18" w:rsidTr="00B0560F">
      <w:trPr>
        <w:trHeight w:val="179"/>
      </w:trPr>
      <w:tc>
        <w:tcPr>
          <w:tcW w:w="2242" w:type="dxa"/>
          <w:shd w:val="clear" w:color="auto" w:fill="auto"/>
        </w:tcPr>
        <w:p w:rsidR="005D0BA2" w:rsidRPr="00BA5C18" w:rsidRDefault="005D0BA2"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5D0BA2" w:rsidRPr="00BA5C18" w:rsidRDefault="005D0BA2" w:rsidP="00D10B04">
          <w:pPr>
            <w:pStyle w:val="Piedepgina"/>
            <w:rPr>
              <w:rFonts w:ascii="Arial" w:hAnsi="Arial" w:cs="Arial"/>
              <w:sz w:val="16"/>
              <w:szCs w:val="16"/>
            </w:rPr>
          </w:pPr>
          <w:r>
            <w:rPr>
              <w:rFonts w:ascii="Arial" w:hAnsi="Arial" w:cs="Arial"/>
              <w:sz w:val="16"/>
              <w:szCs w:val="16"/>
            </w:rPr>
            <w:t>5356</w:t>
          </w:r>
          <w:r w:rsidRPr="00BA5C18">
            <w:rPr>
              <w:rFonts w:ascii="Arial" w:hAnsi="Arial" w:cs="Arial"/>
              <w:sz w:val="16"/>
              <w:szCs w:val="16"/>
            </w:rPr>
            <w:t xml:space="preserve"> “Tierra y Libertad”</w:t>
          </w:r>
        </w:p>
      </w:tc>
    </w:tr>
    <w:tr w:rsidR="005D0BA2" w:rsidRPr="00BA5C18" w:rsidTr="00B0560F">
      <w:trPr>
        <w:trHeight w:val="174"/>
      </w:trPr>
      <w:tc>
        <w:tcPr>
          <w:tcW w:w="2242" w:type="dxa"/>
          <w:shd w:val="clear" w:color="auto" w:fill="auto"/>
        </w:tcPr>
        <w:p w:rsidR="005D0BA2" w:rsidRPr="00BA5C18" w:rsidRDefault="005D0BA2" w:rsidP="00195B4F">
          <w:pPr>
            <w:pStyle w:val="Piedepgina"/>
            <w:rPr>
              <w:rFonts w:ascii="Arial" w:hAnsi="Arial" w:cs="Arial"/>
              <w:sz w:val="16"/>
              <w:szCs w:val="16"/>
            </w:rPr>
          </w:pPr>
        </w:p>
      </w:tc>
      <w:tc>
        <w:tcPr>
          <w:tcW w:w="4455" w:type="dxa"/>
          <w:shd w:val="clear" w:color="auto" w:fill="auto"/>
        </w:tcPr>
        <w:p w:rsidR="005D0BA2" w:rsidRPr="00BA5C18" w:rsidRDefault="005D0BA2"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452" w:rsidRDefault="00804452" w:rsidP="00BA5C18">
      <w:pPr>
        <w:spacing w:after="0" w:line="240" w:lineRule="auto"/>
      </w:pPr>
      <w:r>
        <w:separator/>
      </w:r>
    </w:p>
  </w:footnote>
  <w:footnote w:type="continuationSeparator" w:id="0">
    <w:p w:rsidR="00804452" w:rsidRDefault="00804452"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58463A" w:rsidP="00BA5C18">
    <w:pPr>
      <w:pStyle w:val="Encabezado"/>
    </w:pPr>
    <w:r>
      <w:rPr>
        <w:noProof/>
        <w:lang w:eastAsia="es-MX"/>
      </w:rPr>
      <w:drawing>
        <wp:anchor distT="0" distB="0" distL="114300" distR="114300" simplePos="0" relativeHeight="251661824" behindDoc="1" locked="0" layoutInCell="1" allowOverlap="1">
          <wp:simplePos x="0" y="0"/>
          <wp:positionH relativeFrom="column">
            <wp:posOffset>-553720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-52705</wp:posOffset>
              </wp:positionV>
              <wp:extent cx="6084570" cy="295910"/>
              <wp:effectExtent l="0" t="0" r="0" b="889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E36915" w:rsidRDefault="004A224D" w:rsidP="004A224D">
                          <w:pPr>
                            <w:spacing w:after="0" w:line="240" w:lineRule="auto"/>
                            <w:jc w:val="both"/>
                            <w:rPr>
                              <w:rFonts w:ascii="Arial" w:hAnsi="Arial" w:cs="Arial"/>
                              <w:b/>
                              <w:sz w:val="14"/>
                              <w:szCs w:val="14"/>
                            </w:rPr>
                          </w:pPr>
                          <w:r w:rsidRPr="00E36915">
                            <w:rPr>
                              <w:rFonts w:ascii="Arial" w:eastAsia="Times New Roman" w:hAnsi="Arial" w:cs="Arial"/>
                              <w:bCs/>
                              <w:sz w:val="14"/>
                              <w:szCs w:val="14"/>
                              <w:lang w:val="es-ES" w:eastAsia="es-ES"/>
                            </w:rPr>
                            <w:t>Acuerdo 15/2015 del Fiscal General del Estado de Morelos por el que se crea la Unidad de Investigación del Ministerio Público encargada de conocer el caso Tetelcingo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4.15pt;width:479.1pt;height:23.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" filled="f" stroked="f">
              <v:textbox>
                <w:txbxContent>
                  <w:p w:rsidR="00BA5C18" w:rsidRPr="00E36915" w:rsidRDefault="004A224D" w:rsidP="004A224D">
                    <w:pPr>
                      <w:spacing w:after="0" w:line="240" w:lineRule="auto"/>
                      <w:jc w:val="both"/>
                      <w:rPr>
                        <w:rFonts w:ascii="Arial" w:hAnsi="Arial" w:cs="Arial"/>
                        <w:b/>
                        <w:sz w:val="14"/>
                        <w:szCs w:val="14"/>
                      </w:rPr>
                    </w:pPr>
                    <w:r w:rsidRPr="00E36915">
                      <w:rPr>
                        <w:rFonts w:ascii="Arial" w:eastAsia="Times New Roman" w:hAnsi="Arial" w:cs="Arial"/>
                        <w:bCs/>
                        <w:sz w:val="14"/>
                        <w:szCs w:val="14"/>
                        <w:lang w:val="es-ES" w:eastAsia="es-ES"/>
                      </w:rPr>
                      <w:t>Acuerdo 15/2015 del Fiscal General del Estado de Morelos por el que se crea la Unidad de Investigación del Ministerio Público encargada de conocer el caso Tetelcingo</w:t>
                    </w:r>
                  </w:p>
                </w:txbxContent>
              </v:textbox>
              <w10:wrap type="square"/>
            </v:shape>
          </w:pict>
        </mc:Fallback>
      </mc:AlternateContent>
    </w:r>
  </w:p>
  <w:p w:rsidR="00BA5C18" w:rsidRDefault="0058463A" w:rsidP="00BA5C18">
    <w:pPr>
      <w:pStyle w:val="Encabezado"/>
      <w:ind w:left="4419" w:right="-518" w:hanging="4419"/>
    </w:pPr>
    <w:r>
      <w:rPr>
        <w:noProof/>
        <w:lang w:eastAsia="es-MX"/>
      </w:rPr>
      <w:drawing>
        <wp:anchor distT="0" distB="0" distL="114300" distR="114300" simplePos="0" relativeHeight="251660800" behindDoc="1" locked="0" layoutInCell="1" allowOverlap="1">
          <wp:simplePos x="0" y="0"/>
          <wp:positionH relativeFrom="column">
            <wp:posOffset>314325</wp:posOffset>
          </wp:positionH>
          <wp:positionV relativeFrom="paragraph">
            <wp:posOffset>140970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58463A">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0A285"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58463A" w:rsidP="00C52874">
    <w:pPr>
      <w:pStyle w:val="Encabezado"/>
    </w:pPr>
    <w:r>
      <w:rPr>
        <w:noProof/>
        <w:lang w:eastAsia="es-MX"/>
      </w:rPr>
      <w:drawing>
        <wp:anchor distT="0" distB="0" distL="114300" distR="114300" simplePos="0" relativeHeight="251662848" behindDoc="1" locked="0" layoutInCell="1" allowOverlap="1">
          <wp:simplePos x="0" y="0"/>
          <wp:positionH relativeFrom="column">
            <wp:posOffset>-410210</wp:posOffset>
          </wp:positionH>
          <wp:positionV relativeFrom="paragraph">
            <wp:posOffset>-255270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946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4D" w:rsidRPr="00E36915" w:rsidRDefault="004A224D" w:rsidP="004A224D">
                          <w:pPr>
                            <w:spacing w:after="0" w:line="240" w:lineRule="auto"/>
                            <w:jc w:val="both"/>
                            <w:rPr>
                              <w:rFonts w:ascii="Arial" w:hAnsi="Arial" w:cs="Arial"/>
                              <w:b/>
                              <w:sz w:val="14"/>
                              <w:szCs w:val="14"/>
                            </w:rPr>
                          </w:pPr>
                          <w:r w:rsidRPr="00E36915">
                            <w:rPr>
                              <w:rFonts w:ascii="Arial" w:eastAsia="Times New Roman" w:hAnsi="Arial" w:cs="Arial"/>
                              <w:bCs/>
                              <w:sz w:val="14"/>
                              <w:szCs w:val="14"/>
                              <w:lang w:val="es-ES" w:eastAsia="es-ES"/>
                            </w:rPr>
                            <w:t>Acuerdo 15/2015 del Fiscal General del Estado de Morelos por el que se crea la Unidad de Investigación del Ministerio Público encargada de conocer el caso Tetelcingo</w:t>
                          </w:r>
                        </w:p>
                        <w:p w:rsidR="00C52874" w:rsidRPr="00F430DF" w:rsidRDefault="00C52874" w:rsidP="00F430DF">
                          <w:pPr>
                            <w:spacing w:after="0" w:line="240" w:lineRule="auto"/>
                            <w:jc w:val="right"/>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t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" filled="f" stroked="f">
              <v:textbox>
                <w:txbxContent>
                  <w:p w:rsidR="004A224D" w:rsidRPr="00E36915" w:rsidRDefault="004A224D" w:rsidP="004A224D">
                    <w:pPr>
                      <w:spacing w:after="0" w:line="240" w:lineRule="auto"/>
                      <w:jc w:val="both"/>
                      <w:rPr>
                        <w:rFonts w:ascii="Arial" w:hAnsi="Arial" w:cs="Arial"/>
                        <w:b/>
                        <w:sz w:val="14"/>
                        <w:szCs w:val="14"/>
                      </w:rPr>
                    </w:pPr>
                    <w:r w:rsidRPr="00E36915">
                      <w:rPr>
                        <w:rFonts w:ascii="Arial" w:eastAsia="Times New Roman" w:hAnsi="Arial" w:cs="Arial"/>
                        <w:bCs/>
                        <w:sz w:val="14"/>
                        <w:szCs w:val="14"/>
                        <w:lang w:val="es-ES" w:eastAsia="es-ES"/>
                      </w:rPr>
                      <w:t>Acuerdo 15/2015 del Fiscal General del Estado de Morelos por el que se crea la Unidad de Investigación del Ministerio Público encargada de conocer el caso Tetelcingo</w:t>
                    </w:r>
                  </w:p>
                  <w:p w:rsidR="00C52874" w:rsidRPr="00F430DF" w:rsidRDefault="00C52874" w:rsidP="00F430DF">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58463A">
    <w:pPr>
      <w:pStyle w:val="Encabezado"/>
    </w:pPr>
    <w:r>
      <w:rPr>
        <w:noProof/>
        <w:lang w:eastAsia="es-MX"/>
      </w:rPr>
      <w:drawing>
        <wp:anchor distT="0" distB="0" distL="114300" distR="114300" simplePos="0" relativeHeight="251663872" behindDoc="1" locked="0" layoutInCell="1" allowOverlap="1">
          <wp:simplePos x="0" y="0"/>
          <wp:positionH relativeFrom="column">
            <wp:posOffset>12065</wp:posOffset>
          </wp:positionH>
          <wp:positionV relativeFrom="paragraph">
            <wp:posOffset>608965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776"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721EC"/>
    <w:rsid w:val="00195B4F"/>
    <w:rsid w:val="001D01B9"/>
    <w:rsid w:val="001E228A"/>
    <w:rsid w:val="00202655"/>
    <w:rsid w:val="0027685E"/>
    <w:rsid w:val="00320C26"/>
    <w:rsid w:val="00344386"/>
    <w:rsid w:val="0043315B"/>
    <w:rsid w:val="004870D8"/>
    <w:rsid w:val="004A224D"/>
    <w:rsid w:val="004E1480"/>
    <w:rsid w:val="004E4D9D"/>
    <w:rsid w:val="004E70A0"/>
    <w:rsid w:val="00504CEA"/>
    <w:rsid w:val="00511A93"/>
    <w:rsid w:val="00545FF5"/>
    <w:rsid w:val="005636A4"/>
    <w:rsid w:val="0058463A"/>
    <w:rsid w:val="005D0BA2"/>
    <w:rsid w:val="00667B62"/>
    <w:rsid w:val="006D3150"/>
    <w:rsid w:val="0070153B"/>
    <w:rsid w:val="007A6B38"/>
    <w:rsid w:val="00804452"/>
    <w:rsid w:val="00815A4C"/>
    <w:rsid w:val="008C2BEB"/>
    <w:rsid w:val="008D266F"/>
    <w:rsid w:val="008F3EB3"/>
    <w:rsid w:val="009D5AA9"/>
    <w:rsid w:val="00AD6084"/>
    <w:rsid w:val="00B0560F"/>
    <w:rsid w:val="00B71403"/>
    <w:rsid w:val="00BA5C18"/>
    <w:rsid w:val="00C126D6"/>
    <w:rsid w:val="00C25BA9"/>
    <w:rsid w:val="00C52874"/>
    <w:rsid w:val="00C5588E"/>
    <w:rsid w:val="00C731CD"/>
    <w:rsid w:val="00C9531C"/>
    <w:rsid w:val="00CA350D"/>
    <w:rsid w:val="00D10B04"/>
    <w:rsid w:val="00D44568"/>
    <w:rsid w:val="00D77E42"/>
    <w:rsid w:val="00D90F77"/>
    <w:rsid w:val="00DA5B16"/>
    <w:rsid w:val="00E13B73"/>
    <w:rsid w:val="00E30D5F"/>
    <w:rsid w:val="00E36915"/>
    <w:rsid w:val="00E67ED0"/>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F3090D-2C63-45E4-B424-2C64F0D0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0049-3297-45F0-9AF0-8A2324C8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5</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2019-06-18T18:18:00Z</cp:lastPrinted>
  <dcterms:created xsi:type="dcterms:W3CDTF">2024-09-25T18:29:00Z</dcterms:created>
  <dcterms:modified xsi:type="dcterms:W3CDTF">2024-09-25T18:29:00Z</dcterms:modified>
</cp:coreProperties>
</file>